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0DA33" w14:textId="2E6D5C75" w:rsidR="00AF2CF4" w:rsidRPr="009A784F" w:rsidRDefault="00AF2CF4" w:rsidP="00AF2CF4">
      <w:pPr>
        <w:adjustRightInd w:val="0"/>
        <w:snapToGrid w:val="0"/>
        <w:spacing w:line="600" w:lineRule="exact"/>
        <w:rPr>
          <w:rFonts w:ascii="黑体" w:eastAsia="黑体" w:hAnsi="黑体"/>
          <w:b/>
          <w:bCs/>
          <w:sz w:val="28"/>
          <w:szCs w:val="28"/>
        </w:rPr>
      </w:pPr>
      <w:r w:rsidRPr="009A784F">
        <w:rPr>
          <w:rFonts w:ascii="黑体" w:eastAsia="黑体" w:hAnsi="黑体" w:hint="eastAsia"/>
          <w:b/>
          <w:bCs/>
          <w:sz w:val="28"/>
          <w:szCs w:val="28"/>
        </w:rPr>
        <w:t>证券代码：688159</w:t>
      </w:r>
      <w:r w:rsidRPr="009A784F">
        <w:rPr>
          <w:rFonts w:ascii="黑体" w:eastAsia="黑体" w:hAnsi="黑体"/>
          <w:b/>
          <w:bCs/>
          <w:sz w:val="28"/>
          <w:szCs w:val="28"/>
        </w:rPr>
        <w:t xml:space="preserve">   </w:t>
      </w:r>
      <w:r w:rsidRPr="009A784F">
        <w:rPr>
          <w:rFonts w:ascii="黑体" w:eastAsia="黑体" w:hAnsi="黑体" w:hint="eastAsia"/>
          <w:b/>
          <w:bCs/>
          <w:sz w:val="28"/>
          <w:szCs w:val="28"/>
        </w:rPr>
        <w:t xml:space="preserve"> 证券简称：有方科技 </w:t>
      </w:r>
      <w:r w:rsidRPr="009A784F">
        <w:rPr>
          <w:rFonts w:ascii="黑体" w:eastAsia="黑体" w:hAnsi="黑体"/>
          <w:b/>
          <w:bCs/>
          <w:sz w:val="28"/>
          <w:szCs w:val="28"/>
        </w:rPr>
        <w:t xml:space="preserve">   </w:t>
      </w:r>
      <w:r w:rsidRPr="009A784F">
        <w:rPr>
          <w:rFonts w:ascii="黑体" w:eastAsia="黑体" w:hAnsi="黑体" w:hint="eastAsia"/>
          <w:b/>
          <w:bCs/>
          <w:sz w:val="28"/>
          <w:szCs w:val="28"/>
        </w:rPr>
        <w:t>公告编号：</w:t>
      </w:r>
      <w:r w:rsidR="00FD08A8">
        <w:rPr>
          <w:rFonts w:ascii="黑体" w:eastAsia="黑体" w:hAnsi="黑体" w:hint="eastAsia"/>
          <w:b/>
          <w:bCs/>
          <w:sz w:val="28"/>
          <w:szCs w:val="28"/>
        </w:rPr>
        <w:t>202</w:t>
      </w:r>
      <w:r w:rsidR="00FD08A8" w:rsidRPr="00CD4046">
        <w:rPr>
          <w:rFonts w:ascii="黑体" w:eastAsia="黑体" w:hAnsi="黑体" w:hint="eastAsia"/>
          <w:b/>
          <w:bCs/>
          <w:sz w:val="28"/>
          <w:szCs w:val="28"/>
        </w:rPr>
        <w:t>5</w:t>
      </w:r>
      <w:r w:rsidR="001902C6" w:rsidRPr="00CD4046">
        <w:rPr>
          <w:rFonts w:ascii="黑体" w:eastAsia="黑体" w:hAnsi="黑体"/>
          <w:b/>
          <w:bCs/>
          <w:sz w:val="28"/>
          <w:szCs w:val="28"/>
        </w:rPr>
        <w:t>-</w:t>
      </w:r>
      <w:r w:rsidR="00421332" w:rsidRPr="00CD4046">
        <w:rPr>
          <w:rFonts w:ascii="黑体" w:eastAsia="黑体" w:hAnsi="黑体"/>
          <w:b/>
          <w:bCs/>
          <w:sz w:val="28"/>
          <w:szCs w:val="28"/>
        </w:rPr>
        <w:t>03</w:t>
      </w:r>
      <w:r w:rsidR="00CD4046" w:rsidRPr="00CD4046">
        <w:rPr>
          <w:rFonts w:ascii="黑体" w:eastAsia="黑体" w:hAnsi="黑体"/>
          <w:b/>
          <w:bCs/>
          <w:sz w:val="28"/>
          <w:szCs w:val="28"/>
        </w:rPr>
        <w:t>4</w:t>
      </w:r>
    </w:p>
    <w:p w14:paraId="567FCAE4" w14:textId="77777777" w:rsidR="00AF2CF4" w:rsidRPr="00292735" w:rsidRDefault="00AF2CF4" w:rsidP="00AF2CF4">
      <w:pPr>
        <w:adjustRightInd w:val="0"/>
        <w:snapToGrid w:val="0"/>
        <w:spacing w:line="600" w:lineRule="exact"/>
        <w:rPr>
          <w:rFonts w:ascii="仿宋_GB2312" w:eastAsia="仿宋_GB2312" w:hAnsi="宋体"/>
          <w:sz w:val="30"/>
          <w:szCs w:val="30"/>
        </w:rPr>
      </w:pPr>
    </w:p>
    <w:p w14:paraId="7F976A09" w14:textId="77777777" w:rsidR="00AF2CF4" w:rsidRPr="0043722D" w:rsidRDefault="00AF2CF4" w:rsidP="00AF2CF4">
      <w:pPr>
        <w:spacing w:line="600" w:lineRule="exact"/>
        <w:jc w:val="center"/>
        <w:rPr>
          <w:rFonts w:ascii="黑体" w:eastAsia="黑体" w:hAnsi="黑体"/>
          <w:b/>
          <w:sz w:val="36"/>
          <w:szCs w:val="36"/>
        </w:rPr>
      </w:pPr>
      <w:r w:rsidRPr="0043722D">
        <w:rPr>
          <w:rFonts w:ascii="黑体" w:eastAsia="黑体" w:hAnsi="黑体" w:hint="eastAsia"/>
          <w:b/>
          <w:sz w:val="36"/>
          <w:szCs w:val="36"/>
        </w:rPr>
        <w:t>深圳市有方科技股份有限公司</w:t>
      </w:r>
    </w:p>
    <w:p w14:paraId="1D76054B" w14:textId="005758F0" w:rsidR="00AF2CF4" w:rsidRDefault="005275B4" w:rsidP="00AF2CF4">
      <w:pPr>
        <w:spacing w:line="600" w:lineRule="exact"/>
        <w:jc w:val="center"/>
        <w:rPr>
          <w:rFonts w:ascii="黑体" w:eastAsia="黑体" w:hAnsi="黑体"/>
          <w:b/>
          <w:sz w:val="36"/>
          <w:szCs w:val="36"/>
        </w:rPr>
      </w:pPr>
      <w:r w:rsidRPr="005275B4">
        <w:rPr>
          <w:rFonts w:ascii="黑体" w:eastAsia="黑体" w:hAnsi="黑体" w:hint="eastAsia"/>
          <w:b/>
          <w:sz w:val="36"/>
          <w:szCs w:val="36"/>
        </w:rPr>
        <w:t>关于</w:t>
      </w:r>
      <w:r w:rsidR="00FD08A8">
        <w:rPr>
          <w:rFonts w:ascii="黑体" w:eastAsia="黑体" w:hAnsi="黑体" w:hint="eastAsia"/>
          <w:b/>
          <w:sz w:val="36"/>
          <w:szCs w:val="36"/>
        </w:rPr>
        <w:t>2024</w:t>
      </w:r>
      <w:r w:rsidRPr="005275B4">
        <w:rPr>
          <w:rFonts w:ascii="黑体" w:eastAsia="黑体" w:hAnsi="黑体" w:hint="eastAsia"/>
          <w:b/>
          <w:sz w:val="36"/>
          <w:szCs w:val="36"/>
        </w:rPr>
        <w:t>年度计提</w:t>
      </w:r>
      <w:r w:rsidR="009043B0">
        <w:rPr>
          <w:rFonts w:ascii="黑体" w:eastAsia="黑体" w:hAnsi="黑体" w:hint="eastAsia"/>
          <w:b/>
          <w:sz w:val="36"/>
          <w:szCs w:val="36"/>
        </w:rPr>
        <w:t>信用及</w:t>
      </w:r>
      <w:r w:rsidRPr="005275B4">
        <w:rPr>
          <w:rFonts w:ascii="黑体" w:eastAsia="黑体" w:hAnsi="黑体" w:hint="eastAsia"/>
          <w:b/>
          <w:sz w:val="36"/>
          <w:szCs w:val="36"/>
        </w:rPr>
        <w:t>资产减值准备的公告</w:t>
      </w:r>
    </w:p>
    <w:p w14:paraId="1B1787D3" w14:textId="77777777" w:rsidR="005275B4" w:rsidRPr="00292735" w:rsidRDefault="005275B4" w:rsidP="00AF2CF4">
      <w:pPr>
        <w:spacing w:line="600" w:lineRule="exact"/>
        <w:jc w:val="center"/>
        <w:rPr>
          <w:rFonts w:ascii="仿宋_GB2312" w:eastAsia="仿宋_GB2312" w:hAnsi="宋体"/>
          <w:bCs/>
          <w:sz w:val="30"/>
          <w:szCs w:val="30"/>
        </w:rPr>
      </w:pPr>
    </w:p>
    <w:p w14:paraId="53B5CE02" w14:textId="77777777" w:rsidR="00AF2CF4" w:rsidRPr="00F144B5" w:rsidRDefault="00AF2CF4" w:rsidP="00AF2CF4">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480"/>
        <w:rPr>
          <w:rFonts w:ascii="宋体" w:hAnsi="宋体"/>
          <w:color w:val="000000"/>
          <w:sz w:val="24"/>
        </w:rPr>
      </w:pPr>
      <w:r w:rsidRPr="00F144B5">
        <w:rPr>
          <w:rFonts w:ascii="宋体" w:hAnsi="宋体" w:hint="eastAsia"/>
          <w:color w:val="000000"/>
          <w:sz w:val="24"/>
        </w:rPr>
        <w:t>本公司董事会及全体董事保证本公告内容不存在任何虚假记载、误导性陈述或者重大遗漏，并对其内容的真实性、准确性和完整性依法承担法律责任。</w:t>
      </w:r>
    </w:p>
    <w:p w14:paraId="00AD12AC" w14:textId="77777777" w:rsidR="00AF2CF4" w:rsidRDefault="00AF2CF4" w:rsidP="00AF2CF4">
      <w:pPr>
        <w:adjustRightInd w:val="0"/>
        <w:snapToGrid w:val="0"/>
        <w:spacing w:line="600" w:lineRule="exact"/>
        <w:ind w:firstLineChars="200" w:firstLine="602"/>
        <w:rPr>
          <w:rFonts w:ascii="仿宋_GB2312" w:eastAsia="仿宋_GB2312" w:hAnsi="宋体"/>
          <w:b/>
          <w:bCs/>
          <w:sz w:val="30"/>
          <w:szCs w:val="30"/>
        </w:rPr>
      </w:pPr>
    </w:p>
    <w:p w14:paraId="563E0FDF" w14:textId="1564E00F" w:rsidR="00D27307" w:rsidRPr="00D27307" w:rsidRDefault="00D27307" w:rsidP="00D27307">
      <w:pPr>
        <w:spacing w:line="600" w:lineRule="exact"/>
        <w:ind w:firstLineChars="200" w:firstLine="562"/>
        <w:rPr>
          <w:rFonts w:ascii="宋体" w:hAnsi="宋体"/>
          <w:b/>
          <w:bCs/>
          <w:sz w:val="28"/>
          <w:szCs w:val="28"/>
        </w:rPr>
      </w:pPr>
      <w:r w:rsidRPr="00D27307">
        <w:rPr>
          <w:rFonts w:ascii="宋体" w:hAnsi="宋体" w:hint="eastAsia"/>
          <w:b/>
          <w:bCs/>
          <w:sz w:val="28"/>
          <w:szCs w:val="28"/>
        </w:rPr>
        <w:t>一、本次计提减值准备</w:t>
      </w:r>
      <w:r w:rsidR="007D29DF">
        <w:rPr>
          <w:rFonts w:ascii="宋体" w:hAnsi="宋体" w:hint="eastAsia"/>
          <w:b/>
          <w:bCs/>
          <w:sz w:val="28"/>
          <w:szCs w:val="28"/>
        </w:rPr>
        <w:t>和核销资产的</w:t>
      </w:r>
      <w:r w:rsidRPr="00D27307">
        <w:rPr>
          <w:rFonts w:ascii="宋体" w:hAnsi="宋体" w:hint="eastAsia"/>
          <w:b/>
          <w:bCs/>
          <w:sz w:val="28"/>
          <w:szCs w:val="28"/>
        </w:rPr>
        <w:t>情况概述</w:t>
      </w:r>
    </w:p>
    <w:p w14:paraId="1A22833C" w14:textId="68218700" w:rsidR="00D27307" w:rsidRDefault="00D27307" w:rsidP="00D27307">
      <w:pPr>
        <w:spacing w:line="600" w:lineRule="exact"/>
        <w:ind w:firstLineChars="200" w:firstLine="560"/>
        <w:rPr>
          <w:rFonts w:ascii="宋体" w:hAnsi="宋体"/>
          <w:sz w:val="28"/>
          <w:szCs w:val="28"/>
        </w:rPr>
      </w:pPr>
      <w:r w:rsidRPr="00D27307">
        <w:rPr>
          <w:rFonts w:ascii="宋体" w:hAnsi="宋体" w:hint="eastAsia"/>
          <w:sz w:val="28"/>
          <w:szCs w:val="28"/>
        </w:rPr>
        <w:t>根据《企业会计准则》以及公司财务制度等相关规定，为客观公允地反映公司</w:t>
      </w:r>
      <w:r w:rsidR="00FD08A8">
        <w:rPr>
          <w:rFonts w:ascii="宋体" w:hAnsi="宋体" w:hint="eastAsia"/>
          <w:sz w:val="28"/>
          <w:szCs w:val="28"/>
        </w:rPr>
        <w:t>2024</w:t>
      </w:r>
      <w:r w:rsidRPr="00D27307">
        <w:rPr>
          <w:rFonts w:ascii="宋体" w:hAnsi="宋体" w:hint="eastAsia"/>
          <w:sz w:val="28"/>
          <w:szCs w:val="28"/>
        </w:rPr>
        <w:t>年度财务状况及经营成果，基于谨慎性原则，对截至</w:t>
      </w:r>
      <w:r w:rsidR="00FD08A8">
        <w:rPr>
          <w:rFonts w:ascii="宋体" w:hAnsi="宋体"/>
          <w:sz w:val="28"/>
          <w:szCs w:val="28"/>
        </w:rPr>
        <w:t>2024</w:t>
      </w:r>
      <w:r w:rsidRPr="00D27307">
        <w:rPr>
          <w:rFonts w:ascii="宋体" w:hAnsi="宋体" w:hint="eastAsia"/>
          <w:sz w:val="28"/>
          <w:szCs w:val="28"/>
        </w:rPr>
        <w:t>年</w:t>
      </w:r>
      <w:r w:rsidRPr="00D27307">
        <w:rPr>
          <w:rFonts w:ascii="宋体" w:hAnsi="宋体"/>
          <w:sz w:val="28"/>
          <w:szCs w:val="28"/>
        </w:rPr>
        <w:t>12</w:t>
      </w:r>
      <w:r w:rsidRPr="00D27307">
        <w:rPr>
          <w:rFonts w:ascii="宋体" w:hAnsi="宋体" w:hint="eastAsia"/>
          <w:sz w:val="28"/>
          <w:szCs w:val="28"/>
        </w:rPr>
        <w:t>月</w:t>
      </w:r>
      <w:r w:rsidRPr="00D27307">
        <w:rPr>
          <w:rFonts w:ascii="宋体" w:hAnsi="宋体"/>
          <w:sz w:val="28"/>
          <w:szCs w:val="28"/>
        </w:rPr>
        <w:t>31</w:t>
      </w:r>
      <w:r w:rsidRPr="00D27307">
        <w:rPr>
          <w:rFonts w:ascii="宋体" w:hAnsi="宋体" w:hint="eastAsia"/>
          <w:sz w:val="28"/>
          <w:szCs w:val="28"/>
        </w:rPr>
        <w:t>日合并报表范围内可能发生信用及资产减值损失的有关资产计提信用及资产减值准备。</w:t>
      </w:r>
    </w:p>
    <w:p w14:paraId="4B8A34FD" w14:textId="2541A778" w:rsidR="00D27307" w:rsidRPr="00A852E7" w:rsidRDefault="00D27307" w:rsidP="00D27307">
      <w:pPr>
        <w:spacing w:line="600" w:lineRule="exact"/>
        <w:ind w:firstLineChars="200" w:firstLine="560"/>
        <w:rPr>
          <w:rFonts w:ascii="宋体" w:hAnsi="宋体"/>
          <w:sz w:val="28"/>
          <w:szCs w:val="28"/>
        </w:rPr>
      </w:pPr>
      <w:r w:rsidRPr="00D27307">
        <w:rPr>
          <w:rFonts w:ascii="宋体" w:hAnsi="宋体" w:hint="eastAsia"/>
          <w:sz w:val="28"/>
          <w:szCs w:val="28"/>
        </w:rPr>
        <w:t>公司本次计提</w:t>
      </w:r>
      <w:r w:rsidR="00815E6A">
        <w:rPr>
          <w:rFonts w:ascii="宋体" w:hAnsi="宋体" w:hint="eastAsia"/>
          <w:sz w:val="28"/>
          <w:szCs w:val="28"/>
        </w:rPr>
        <w:t>各类</w:t>
      </w:r>
      <w:r w:rsidRPr="003633CF">
        <w:rPr>
          <w:rFonts w:ascii="宋体" w:hAnsi="宋体" w:hint="eastAsia"/>
          <w:sz w:val="28"/>
          <w:szCs w:val="28"/>
        </w:rPr>
        <w:t>信用减值</w:t>
      </w:r>
      <w:r w:rsidR="00815E6A" w:rsidRPr="003633CF">
        <w:rPr>
          <w:rFonts w:ascii="宋体" w:hAnsi="宋体" w:hint="eastAsia"/>
          <w:sz w:val="28"/>
          <w:szCs w:val="28"/>
        </w:rPr>
        <w:t>及</w:t>
      </w:r>
      <w:r w:rsidRPr="003633CF">
        <w:rPr>
          <w:rFonts w:ascii="宋体" w:hAnsi="宋体" w:hint="eastAsia"/>
          <w:sz w:val="28"/>
          <w:szCs w:val="28"/>
        </w:rPr>
        <w:t>资产减</w:t>
      </w:r>
      <w:r w:rsidRPr="00A852E7">
        <w:rPr>
          <w:rFonts w:ascii="宋体" w:hAnsi="宋体" w:hint="eastAsia"/>
          <w:sz w:val="28"/>
          <w:szCs w:val="28"/>
        </w:rPr>
        <w:t>值</w:t>
      </w:r>
      <w:r w:rsidR="00815E6A" w:rsidRPr="00A852E7">
        <w:rPr>
          <w:rFonts w:ascii="宋体" w:hAnsi="宋体" w:hint="eastAsia"/>
          <w:sz w:val="28"/>
          <w:szCs w:val="28"/>
        </w:rPr>
        <w:t>准备合</w:t>
      </w:r>
      <w:r w:rsidR="00815E6A" w:rsidRPr="00180E2C">
        <w:rPr>
          <w:rFonts w:ascii="宋体" w:hAnsi="宋体" w:hint="eastAsia"/>
          <w:sz w:val="28"/>
          <w:szCs w:val="28"/>
        </w:rPr>
        <w:t>计</w:t>
      </w:r>
      <w:r w:rsidR="0035205E" w:rsidRPr="0035205E">
        <w:rPr>
          <w:rFonts w:ascii="宋体" w:hAnsi="宋体"/>
          <w:sz w:val="28"/>
          <w:szCs w:val="28"/>
        </w:rPr>
        <w:t>5,802.39</w:t>
      </w:r>
      <w:r w:rsidRPr="00180E2C">
        <w:rPr>
          <w:rFonts w:ascii="宋体" w:hAnsi="宋体" w:hint="eastAsia"/>
          <w:sz w:val="28"/>
          <w:szCs w:val="28"/>
        </w:rPr>
        <w:t>万元，</w:t>
      </w:r>
      <w:bookmarkStart w:id="0" w:name="_GoBack"/>
      <w:bookmarkEnd w:id="0"/>
      <w:r w:rsidRPr="00A852E7">
        <w:rPr>
          <w:rFonts w:ascii="宋体" w:hAnsi="宋体" w:hint="eastAsia"/>
          <w:sz w:val="28"/>
          <w:szCs w:val="28"/>
        </w:rPr>
        <w:t>具体如下表：</w:t>
      </w:r>
    </w:p>
    <w:p w14:paraId="5F066DDC" w14:textId="7A82556F" w:rsidR="003975F3" w:rsidRPr="00A852E7" w:rsidRDefault="00981D31" w:rsidP="003975F3">
      <w:pPr>
        <w:spacing w:line="600" w:lineRule="exact"/>
        <w:ind w:firstLineChars="200" w:firstLine="480"/>
        <w:jc w:val="right"/>
        <w:rPr>
          <w:rFonts w:ascii="宋体" w:hAnsi="宋体"/>
          <w:sz w:val="24"/>
        </w:rPr>
      </w:pPr>
      <w:r w:rsidRPr="00A852E7">
        <w:rPr>
          <w:rFonts w:ascii="宋体" w:hAnsi="宋体" w:hint="eastAsia"/>
          <w:sz w:val="24"/>
        </w:rPr>
        <w:t>单位：</w:t>
      </w:r>
      <w:r w:rsidR="003975F3" w:rsidRPr="00A852E7">
        <w:rPr>
          <w:rFonts w:ascii="宋体" w:hAnsi="宋体" w:hint="eastAsia"/>
          <w:sz w:val="24"/>
        </w:rPr>
        <w:t>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4097"/>
        <w:gridCol w:w="4179"/>
      </w:tblGrid>
      <w:tr w:rsidR="00FD7E6C" w:rsidRPr="00A852E7" w14:paraId="57BA4621" w14:textId="77777777" w:rsidTr="003F3FA8">
        <w:tc>
          <w:tcPr>
            <w:tcW w:w="2475" w:type="pct"/>
            <w:shd w:val="clear" w:color="auto" w:fill="FFFFFF"/>
            <w:tcMar>
              <w:top w:w="75" w:type="dxa"/>
              <w:left w:w="75" w:type="dxa"/>
              <w:bottom w:w="75" w:type="dxa"/>
              <w:right w:w="75" w:type="dxa"/>
            </w:tcMar>
            <w:vAlign w:val="center"/>
            <w:hideMark/>
          </w:tcPr>
          <w:p w14:paraId="6861189D" w14:textId="77777777" w:rsidR="00FD7E6C" w:rsidRPr="006B5A94" w:rsidRDefault="00FD7E6C" w:rsidP="003C3BC7">
            <w:pPr>
              <w:widowControl/>
              <w:wordWrap w:val="0"/>
              <w:jc w:val="center"/>
              <w:rPr>
                <w:rFonts w:ascii="宋体" w:hAnsi="宋体" w:cs="宋体"/>
                <w:color w:val="333333"/>
                <w:kern w:val="0"/>
                <w:sz w:val="24"/>
              </w:rPr>
            </w:pPr>
            <w:r w:rsidRPr="006B5A94">
              <w:rPr>
                <w:rFonts w:ascii="宋体" w:hAnsi="宋体" w:cs="宋体" w:hint="eastAsia"/>
                <w:color w:val="333333"/>
                <w:kern w:val="0"/>
                <w:sz w:val="24"/>
              </w:rPr>
              <w:t>项目</w:t>
            </w:r>
          </w:p>
        </w:tc>
        <w:tc>
          <w:tcPr>
            <w:tcW w:w="2525" w:type="pct"/>
            <w:shd w:val="clear" w:color="auto" w:fill="FFFFFF"/>
            <w:tcMar>
              <w:top w:w="75" w:type="dxa"/>
              <w:left w:w="75" w:type="dxa"/>
              <w:bottom w:w="75" w:type="dxa"/>
              <w:right w:w="75" w:type="dxa"/>
            </w:tcMar>
            <w:vAlign w:val="center"/>
            <w:hideMark/>
          </w:tcPr>
          <w:p w14:paraId="6DE2FE22" w14:textId="6A072347" w:rsidR="00FD7E6C" w:rsidRPr="006B5A94" w:rsidRDefault="00FD7E6C" w:rsidP="003C3BC7">
            <w:pPr>
              <w:widowControl/>
              <w:wordWrap w:val="0"/>
              <w:jc w:val="center"/>
              <w:rPr>
                <w:rFonts w:ascii="宋体" w:hAnsi="宋体" w:cs="宋体"/>
                <w:color w:val="333333"/>
                <w:kern w:val="0"/>
                <w:sz w:val="24"/>
              </w:rPr>
            </w:pPr>
            <w:r w:rsidRPr="006B5A94">
              <w:rPr>
                <w:rFonts w:ascii="宋体" w:hAnsi="宋体" w:cs="宋体" w:hint="eastAsia"/>
                <w:color w:val="333333"/>
                <w:kern w:val="0"/>
                <w:sz w:val="24"/>
              </w:rPr>
              <w:t>本期计提减值准备金额</w:t>
            </w:r>
          </w:p>
        </w:tc>
      </w:tr>
      <w:tr w:rsidR="009142C5" w:rsidRPr="00A852E7" w14:paraId="17B97354" w14:textId="77777777" w:rsidTr="00A04952">
        <w:tc>
          <w:tcPr>
            <w:tcW w:w="2475" w:type="pct"/>
            <w:shd w:val="clear" w:color="auto" w:fill="FFFFFF"/>
            <w:tcMar>
              <w:top w:w="75" w:type="dxa"/>
              <w:left w:w="75" w:type="dxa"/>
              <w:bottom w:w="75" w:type="dxa"/>
              <w:right w:w="75" w:type="dxa"/>
            </w:tcMar>
            <w:vAlign w:val="center"/>
            <w:hideMark/>
          </w:tcPr>
          <w:p w14:paraId="20214F69" w14:textId="25862D52" w:rsidR="009142C5" w:rsidRPr="006B5A94" w:rsidRDefault="009142C5" w:rsidP="009142C5">
            <w:pPr>
              <w:widowControl/>
              <w:wordWrap w:val="0"/>
              <w:jc w:val="center"/>
              <w:rPr>
                <w:rFonts w:ascii="宋体" w:hAnsi="宋体" w:cs="宋体"/>
                <w:color w:val="333333"/>
                <w:kern w:val="0"/>
                <w:sz w:val="24"/>
              </w:rPr>
            </w:pPr>
            <w:r w:rsidRPr="006B5A94">
              <w:rPr>
                <w:rFonts w:ascii="宋体" w:hAnsi="宋体" w:cs="宋体" w:hint="eastAsia"/>
                <w:kern w:val="0"/>
                <w:sz w:val="24"/>
              </w:rPr>
              <w:t>应收账款坏账准备</w:t>
            </w:r>
          </w:p>
        </w:tc>
        <w:tc>
          <w:tcPr>
            <w:tcW w:w="2525" w:type="pct"/>
            <w:shd w:val="clear" w:color="auto" w:fill="FFFFFF"/>
            <w:tcMar>
              <w:top w:w="75" w:type="dxa"/>
              <w:left w:w="75" w:type="dxa"/>
              <w:bottom w:w="75" w:type="dxa"/>
              <w:right w:w="75" w:type="dxa"/>
            </w:tcMar>
          </w:tcPr>
          <w:p w14:paraId="6FFF98D6" w14:textId="6005689D" w:rsidR="009142C5" w:rsidRPr="00AA4123" w:rsidRDefault="00686845" w:rsidP="00AA4123">
            <w:pPr>
              <w:jc w:val="right"/>
              <w:rPr>
                <w:sz w:val="24"/>
                <w:highlight w:val="yellow"/>
              </w:rPr>
            </w:pPr>
            <w:r w:rsidRPr="00AA4123">
              <w:rPr>
                <w:sz w:val="24"/>
              </w:rPr>
              <w:t>39,304,632.96</w:t>
            </w:r>
          </w:p>
        </w:tc>
      </w:tr>
      <w:tr w:rsidR="009142C5" w:rsidRPr="00A852E7" w14:paraId="2EA12671" w14:textId="77777777" w:rsidTr="00A04952">
        <w:tc>
          <w:tcPr>
            <w:tcW w:w="2475" w:type="pct"/>
            <w:shd w:val="clear" w:color="auto" w:fill="FFFFFF"/>
            <w:tcMar>
              <w:top w:w="75" w:type="dxa"/>
              <w:left w:w="75" w:type="dxa"/>
              <w:bottom w:w="75" w:type="dxa"/>
              <w:right w:w="75" w:type="dxa"/>
            </w:tcMar>
            <w:vAlign w:val="center"/>
            <w:hideMark/>
          </w:tcPr>
          <w:p w14:paraId="408A1A6F" w14:textId="1D29B35C" w:rsidR="009142C5" w:rsidRPr="006B5A94" w:rsidRDefault="009142C5" w:rsidP="009142C5">
            <w:pPr>
              <w:widowControl/>
              <w:wordWrap w:val="0"/>
              <w:jc w:val="center"/>
              <w:rPr>
                <w:rFonts w:ascii="宋体" w:hAnsi="宋体" w:cs="宋体"/>
                <w:color w:val="333333"/>
                <w:kern w:val="0"/>
                <w:sz w:val="24"/>
              </w:rPr>
            </w:pPr>
            <w:r w:rsidRPr="006B5A94">
              <w:rPr>
                <w:rFonts w:ascii="宋体" w:hAnsi="宋体" w:cs="宋体" w:hint="eastAsia"/>
                <w:kern w:val="0"/>
                <w:sz w:val="24"/>
              </w:rPr>
              <w:t>应收票据坏账准备</w:t>
            </w:r>
          </w:p>
        </w:tc>
        <w:tc>
          <w:tcPr>
            <w:tcW w:w="2525" w:type="pct"/>
            <w:shd w:val="clear" w:color="auto" w:fill="FFFFFF"/>
            <w:tcMar>
              <w:top w:w="75" w:type="dxa"/>
              <w:left w:w="75" w:type="dxa"/>
              <w:bottom w:w="75" w:type="dxa"/>
              <w:right w:w="75" w:type="dxa"/>
            </w:tcMar>
          </w:tcPr>
          <w:p w14:paraId="5AF18887" w14:textId="18F2203D" w:rsidR="009142C5" w:rsidRPr="00AA4123" w:rsidRDefault="009142C5" w:rsidP="00AA4123">
            <w:pPr>
              <w:jc w:val="right"/>
              <w:rPr>
                <w:sz w:val="24"/>
                <w:highlight w:val="yellow"/>
              </w:rPr>
            </w:pPr>
            <w:r w:rsidRPr="00AA4123">
              <w:rPr>
                <w:sz w:val="24"/>
              </w:rPr>
              <w:t xml:space="preserve"> 922,626.79 </w:t>
            </w:r>
          </w:p>
        </w:tc>
      </w:tr>
      <w:tr w:rsidR="009142C5" w:rsidRPr="00A852E7" w14:paraId="29ACD865" w14:textId="77777777" w:rsidTr="00A04952">
        <w:tc>
          <w:tcPr>
            <w:tcW w:w="2475" w:type="pct"/>
            <w:shd w:val="clear" w:color="auto" w:fill="FFFFFF"/>
            <w:tcMar>
              <w:top w:w="75" w:type="dxa"/>
              <w:left w:w="75" w:type="dxa"/>
              <w:bottom w:w="75" w:type="dxa"/>
              <w:right w:w="75" w:type="dxa"/>
            </w:tcMar>
            <w:vAlign w:val="center"/>
            <w:hideMark/>
          </w:tcPr>
          <w:p w14:paraId="774C8461" w14:textId="7ECE4E6B" w:rsidR="009142C5" w:rsidRPr="006B5A94" w:rsidRDefault="009142C5" w:rsidP="009142C5">
            <w:pPr>
              <w:widowControl/>
              <w:wordWrap w:val="0"/>
              <w:jc w:val="center"/>
              <w:rPr>
                <w:rFonts w:ascii="宋体" w:hAnsi="宋体" w:cs="宋体"/>
                <w:color w:val="333333"/>
                <w:kern w:val="0"/>
                <w:sz w:val="24"/>
              </w:rPr>
            </w:pPr>
            <w:r w:rsidRPr="006B5A94">
              <w:rPr>
                <w:rFonts w:ascii="宋体" w:hAnsi="宋体" w:cs="宋体" w:hint="eastAsia"/>
                <w:kern w:val="0"/>
                <w:sz w:val="24"/>
              </w:rPr>
              <w:t>其他应收款坏账准备</w:t>
            </w:r>
          </w:p>
        </w:tc>
        <w:tc>
          <w:tcPr>
            <w:tcW w:w="2525" w:type="pct"/>
            <w:shd w:val="clear" w:color="auto" w:fill="FFFFFF"/>
            <w:tcMar>
              <w:top w:w="75" w:type="dxa"/>
              <w:left w:w="75" w:type="dxa"/>
              <w:bottom w:w="75" w:type="dxa"/>
              <w:right w:w="75" w:type="dxa"/>
            </w:tcMar>
          </w:tcPr>
          <w:p w14:paraId="2E892EF9" w14:textId="66DF03B7" w:rsidR="009142C5" w:rsidRPr="00AA4123" w:rsidRDefault="009142C5" w:rsidP="00AA4123">
            <w:pPr>
              <w:jc w:val="right"/>
              <w:rPr>
                <w:sz w:val="24"/>
                <w:highlight w:val="yellow"/>
              </w:rPr>
            </w:pPr>
            <w:r w:rsidRPr="00AA4123">
              <w:rPr>
                <w:sz w:val="24"/>
              </w:rPr>
              <w:t xml:space="preserve"> 1,434,664.45 </w:t>
            </w:r>
          </w:p>
        </w:tc>
      </w:tr>
      <w:tr w:rsidR="009142C5" w:rsidRPr="00A852E7" w14:paraId="6FEDE569" w14:textId="77777777" w:rsidTr="00A04952">
        <w:tc>
          <w:tcPr>
            <w:tcW w:w="2475" w:type="pct"/>
            <w:shd w:val="clear" w:color="auto" w:fill="FFFFFF"/>
            <w:tcMar>
              <w:top w:w="75" w:type="dxa"/>
              <w:left w:w="75" w:type="dxa"/>
              <w:bottom w:w="75" w:type="dxa"/>
              <w:right w:w="75" w:type="dxa"/>
            </w:tcMar>
            <w:vAlign w:val="center"/>
            <w:hideMark/>
          </w:tcPr>
          <w:p w14:paraId="66F675BA" w14:textId="03E741EA" w:rsidR="009142C5" w:rsidRPr="006B5A94" w:rsidRDefault="009142C5" w:rsidP="009142C5">
            <w:pPr>
              <w:widowControl/>
              <w:wordWrap w:val="0"/>
              <w:jc w:val="center"/>
              <w:rPr>
                <w:rFonts w:ascii="宋体" w:hAnsi="宋体" w:cs="宋体"/>
                <w:color w:val="333333"/>
                <w:kern w:val="0"/>
                <w:sz w:val="24"/>
              </w:rPr>
            </w:pPr>
            <w:r w:rsidRPr="006B5A94">
              <w:rPr>
                <w:rFonts w:ascii="宋体" w:hAnsi="宋体" w:cs="宋体" w:hint="eastAsia"/>
                <w:kern w:val="0"/>
                <w:sz w:val="24"/>
              </w:rPr>
              <w:t>存货跌价准备</w:t>
            </w:r>
          </w:p>
        </w:tc>
        <w:tc>
          <w:tcPr>
            <w:tcW w:w="2525" w:type="pct"/>
            <w:shd w:val="clear" w:color="auto" w:fill="FFFFFF"/>
            <w:tcMar>
              <w:top w:w="75" w:type="dxa"/>
              <w:left w:w="75" w:type="dxa"/>
              <w:bottom w:w="75" w:type="dxa"/>
              <w:right w:w="75" w:type="dxa"/>
            </w:tcMar>
          </w:tcPr>
          <w:p w14:paraId="1F3D11E8" w14:textId="1B4F1A60" w:rsidR="009142C5" w:rsidRPr="00AA4123" w:rsidRDefault="009142C5" w:rsidP="00AA4123">
            <w:pPr>
              <w:jc w:val="right"/>
              <w:rPr>
                <w:sz w:val="24"/>
                <w:highlight w:val="yellow"/>
              </w:rPr>
            </w:pPr>
            <w:r w:rsidRPr="00AA4123">
              <w:rPr>
                <w:sz w:val="24"/>
              </w:rPr>
              <w:t xml:space="preserve"> 16,135,659.59 </w:t>
            </w:r>
          </w:p>
        </w:tc>
      </w:tr>
      <w:tr w:rsidR="009142C5" w:rsidRPr="00A852E7" w14:paraId="0EFE5C18" w14:textId="77777777" w:rsidTr="00A04952">
        <w:tc>
          <w:tcPr>
            <w:tcW w:w="2475" w:type="pct"/>
            <w:shd w:val="clear" w:color="auto" w:fill="FFFFFF"/>
            <w:tcMar>
              <w:top w:w="75" w:type="dxa"/>
              <w:left w:w="75" w:type="dxa"/>
              <w:bottom w:w="75" w:type="dxa"/>
              <w:right w:w="75" w:type="dxa"/>
            </w:tcMar>
            <w:vAlign w:val="center"/>
          </w:tcPr>
          <w:p w14:paraId="715EA0F3" w14:textId="44DEB18C" w:rsidR="009142C5" w:rsidRPr="006B5A94" w:rsidRDefault="009142C5" w:rsidP="009142C5">
            <w:pPr>
              <w:widowControl/>
              <w:wordWrap w:val="0"/>
              <w:jc w:val="center"/>
              <w:rPr>
                <w:rFonts w:ascii="宋体" w:hAnsi="宋体" w:cs="宋体"/>
                <w:kern w:val="0"/>
                <w:sz w:val="24"/>
              </w:rPr>
            </w:pPr>
            <w:r w:rsidRPr="006B5A94">
              <w:rPr>
                <w:rFonts w:ascii="宋体" w:hAnsi="宋体" w:cs="宋体" w:hint="eastAsia"/>
                <w:kern w:val="0"/>
                <w:sz w:val="24"/>
              </w:rPr>
              <w:t>合同资产减值准备</w:t>
            </w:r>
          </w:p>
        </w:tc>
        <w:tc>
          <w:tcPr>
            <w:tcW w:w="2525" w:type="pct"/>
            <w:shd w:val="clear" w:color="auto" w:fill="FFFFFF"/>
            <w:tcMar>
              <w:top w:w="75" w:type="dxa"/>
              <w:left w:w="75" w:type="dxa"/>
              <w:bottom w:w="75" w:type="dxa"/>
              <w:right w:w="75" w:type="dxa"/>
            </w:tcMar>
          </w:tcPr>
          <w:p w14:paraId="56517B91" w14:textId="44B39FBA" w:rsidR="009142C5" w:rsidRPr="00AA4123" w:rsidRDefault="009142C5" w:rsidP="00AA4123">
            <w:pPr>
              <w:jc w:val="right"/>
              <w:rPr>
                <w:sz w:val="24"/>
              </w:rPr>
            </w:pPr>
            <w:r w:rsidRPr="00AA4123">
              <w:rPr>
                <w:sz w:val="24"/>
              </w:rPr>
              <w:t xml:space="preserve"> 226,286.49 </w:t>
            </w:r>
          </w:p>
        </w:tc>
      </w:tr>
      <w:tr w:rsidR="009142C5" w:rsidRPr="00A852E7" w14:paraId="29444D83" w14:textId="77777777" w:rsidTr="00A04952">
        <w:tc>
          <w:tcPr>
            <w:tcW w:w="2475" w:type="pct"/>
            <w:shd w:val="clear" w:color="auto" w:fill="FFFFFF"/>
            <w:tcMar>
              <w:top w:w="75" w:type="dxa"/>
              <w:left w:w="75" w:type="dxa"/>
              <w:bottom w:w="75" w:type="dxa"/>
              <w:right w:w="75" w:type="dxa"/>
            </w:tcMar>
            <w:vAlign w:val="center"/>
            <w:hideMark/>
          </w:tcPr>
          <w:p w14:paraId="2A064611" w14:textId="77777777" w:rsidR="009142C5" w:rsidRPr="006B5A94" w:rsidRDefault="009142C5" w:rsidP="009142C5">
            <w:pPr>
              <w:widowControl/>
              <w:wordWrap w:val="0"/>
              <w:jc w:val="center"/>
              <w:rPr>
                <w:rFonts w:ascii="宋体" w:hAnsi="宋体" w:cs="宋体"/>
                <w:color w:val="333333"/>
                <w:kern w:val="0"/>
                <w:sz w:val="24"/>
              </w:rPr>
            </w:pPr>
            <w:r w:rsidRPr="006B5A94">
              <w:rPr>
                <w:rFonts w:ascii="宋体" w:hAnsi="宋体" w:cs="宋体" w:hint="eastAsia"/>
                <w:color w:val="333333"/>
                <w:kern w:val="0"/>
                <w:sz w:val="24"/>
              </w:rPr>
              <w:t>合计</w:t>
            </w:r>
          </w:p>
        </w:tc>
        <w:tc>
          <w:tcPr>
            <w:tcW w:w="2525" w:type="pct"/>
            <w:shd w:val="clear" w:color="auto" w:fill="FFFFFF"/>
            <w:tcMar>
              <w:top w:w="75" w:type="dxa"/>
              <w:left w:w="75" w:type="dxa"/>
              <w:bottom w:w="75" w:type="dxa"/>
              <w:right w:w="75" w:type="dxa"/>
            </w:tcMar>
          </w:tcPr>
          <w:p w14:paraId="0EA1A5F6" w14:textId="2600CD92" w:rsidR="009142C5" w:rsidRPr="00AA4123" w:rsidRDefault="00686845" w:rsidP="00AA4123">
            <w:pPr>
              <w:jc w:val="right"/>
              <w:rPr>
                <w:sz w:val="24"/>
                <w:highlight w:val="yellow"/>
              </w:rPr>
            </w:pPr>
            <w:r w:rsidRPr="00AA4123">
              <w:rPr>
                <w:sz w:val="24"/>
              </w:rPr>
              <w:t>58,023,870.28</w:t>
            </w:r>
          </w:p>
        </w:tc>
      </w:tr>
    </w:tbl>
    <w:p w14:paraId="554CFDB1" w14:textId="79F1B595" w:rsidR="00D27307" w:rsidRPr="00A852E7" w:rsidRDefault="00D27307" w:rsidP="00D27307">
      <w:pPr>
        <w:spacing w:line="600" w:lineRule="exact"/>
        <w:ind w:firstLineChars="200" w:firstLine="562"/>
        <w:rPr>
          <w:rFonts w:ascii="宋体" w:hAnsi="宋体"/>
          <w:sz w:val="28"/>
          <w:szCs w:val="28"/>
        </w:rPr>
      </w:pPr>
      <w:r w:rsidRPr="00A852E7">
        <w:rPr>
          <w:rFonts w:ascii="宋体" w:hAnsi="宋体" w:hint="eastAsia"/>
          <w:b/>
          <w:bCs/>
          <w:sz w:val="28"/>
          <w:szCs w:val="28"/>
        </w:rPr>
        <w:t>二、本次计提</w:t>
      </w:r>
      <w:r w:rsidR="009043B0" w:rsidRPr="00A852E7">
        <w:rPr>
          <w:rFonts w:ascii="宋体" w:hAnsi="宋体" w:hint="eastAsia"/>
          <w:b/>
          <w:bCs/>
          <w:sz w:val="28"/>
          <w:szCs w:val="28"/>
        </w:rPr>
        <w:t>信用及</w:t>
      </w:r>
      <w:r w:rsidR="00425B94" w:rsidRPr="00A852E7">
        <w:rPr>
          <w:rFonts w:ascii="宋体" w:hAnsi="宋体" w:hint="eastAsia"/>
          <w:b/>
          <w:bCs/>
          <w:sz w:val="28"/>
          <w:szCs w:val="28"/>
        </w:rPr>
        <w:t>资产</w:t>
      </w:r>
      <w:r w:rsidRPr="00A852E7">
        <w:rPr>
          <w:rFonts w:ascii="宋体" w:hAnsi="宋体" w:hint="eastAsia"/>
          <w:b/>
          <w:bCs/>
          <w:sz w:val="28"/>
          <w:szCs w:val="28"/>
        </w:rPr>
        <w:t>减值准备的具体说明</w:t>
      </w:r>
    </w:p>
    <w:p w14:paraId="644904B2" w14:textId="0D6D75B8" w:rsidR="00D27307" w:rsidRPr="00A852E7" w:rsidRDefault="00D27307" w:rsidP="00D27307">
      <w:pPr>
        <w:spacing w:line="600" w:lineRule="exact"/>
        <w:ind w:firstLineChars="200" w:firstLine="560"/>
        <w:rPr>
          <w:rFonts w:ascii="宋体" w:hAnsi="宋体"/>
          <w:sz w:val="28"/>
          <w:szCs w:val="28"/>
        </w:rPr>
      </w:pPr>
      <w:r w:rsidRPr="00A852E7">
        <w:rPr>
          <w:rFonts w:ascii="宋体" w:hAnsi="宋体" w:hint="eastAsia"/>
          <w:sz w:val="28"/>
          <w:szCs w:val="28"/>
        </w:rPr>
        <w:lastRenderedPageBreak/>
        <w:t>（一）</w:t>
      </w:r>
      <w:r w:rsidRPr="00A852E7">
        <w:rPr>
          <w:rFonts w:ascii="宋体" w:hAnsi="宋体"/>
          <w:sz w:val="28"/>
          <w:szCs w:val="28"/>
        </w:rPr>
        <w:t xml:space="preserve"> </w:t>
      </w:r>
      <w:r w:rsidRPr="00A852E7">
        <w:rPr>
          <w:rFonts w:ascii="宋体" w:hAnsi="宋体" w:hint="eastAsia"/>
          <w:sz w:val="28"/>
          <w:szCs w:val="28"/>
        </w:rPr>
        <w:t>信用减值</w:t>
      </w:r>
      <w:r w:rsidR="00425B94" w:rsidRPr="00A852E7">
        <w:rPr>
          <w:rFonts w:ascii="宋体" w:hAnsi="宋体" w:hint="eastAsia"/>
          <w:sz w:val="28"/>
          <w:szCs w:val="28"/>
        </w:rPr>
        <w:t>准备</w:t>
      </w:r>
    </w:p>
    <w:p w14:paraId="7A9636C7" w14:textId="303D6397" w:rsidR="00D27307" w:rsidRPr="00A852E7" w:rsidRDefault="00D27307" w:rsidP="00D27307">
      <w:pPr>
        <w:spacing w:line="600" w:lineRule="exact"/>
        <w:ind w:firstLineChars="200" w:firstLine="560"/>
        <w:rPr>
          <w:rFonts w:ascii="宋体" w:hAnsi="宋体"/>
          <w:sz w:val="28"/>
          <w:szCs w:val="28"/>
        </w:rPr>
      </w:pPr>
      <w:r w:rsidRPr="00A852E7">
        <w:rPr>
          <w:rFonts w:ascii="宋体" w:hAnsi="宋体" w:hint="eastAsia"/>
          <w:sz w:val="28"/>
          <w:szCs w:val="28"/>
        </w:rPr>
        <w:t>公司以预期信用损失为基础，对应收账款、</w:t>
      </w:r>
      <w:r w:rsidR="002A4D05" w:rsidRPr="00A852E7">
        <w:rPr>
          <w:rFonts w:ascii="宋体" w:hAnsi="宋体" w:hint="eastAsia"/>
          <w:sz w:val="28"/>
          <w:szCs w:val="28"/>
        </w:rPr>
        <w:t>应收票据、</w:t>
      </w:r>
      <w:r w:rsidRPr="00A852E7">
        <w:rPr>
          <w:rFonts w:ascii="宋体" w:hAnsi="宋体" w:hint="eastAsia"/>
          <w:sz w:val="28"/>
          <w:szCs w:val="28"/>
        </w:rPr>
        <w:t>其他应收款进行减值测试并确认损失准备，本期计提信用减值损失金</w:t>
      </w:r>
      <w:r w:rsidRPr="003E2479">
        <w:rPr>
          <w:rFonts w:ascii="宋体" w:hAnsi="宋体" w:hint="eastAsia"/>
          <w:sz w:val="28"/>
          <w:szCs w:val="28"/>
        </w:rPr>
        <w:t>额共计</w:t>
      </w:r>
      <w:r w:rsidR="00686845">
        <w:rPr>
          <w:rFonts w:ascii="宋体" w:hAnsi="宋体"/>
          <w:sz w:val="28"/>
          <w:szCs w:val="28"/>
        </w:rPr>
        <w:t>4</w:t>
      </w:r>
      <w:r w:rsidR="002D655A" w:rsidRPr="003E2479">
        <w:rPr>
          <w:rFonts w:ascii="宋体" w:hAnsi="宋体"/>
          <w:sz w:val="28"/>
          <w:szCs w:val="28"/>
        </w:rPr>
        <w:t>,</w:t>
      </w:r>
      <w:r w:rsidR="00686845">
        <w:rPr>
          <w:rFonts w:ascii="宋体" w:hAnsi="宋体"/>
          <w:sz w:val="28"/>
          <w:szCs w:val="28"/>
        </w:rPr>
        <w:t>166.19</w:t>
      </w:r>
      <w:r w:rsidRPr="003E2479">
        <w:rPr>
          <w:rFonts w:ascii="宋体" w:hAnsi="宋体" w:hint="eastAsia"/>
          <w:sz w:val="28"/>
          <w:szCs w:val="28"/>
        </w:rPr>
        <w:t>万元。</w:t>
      </w:r>
    </w:p>
    <w:p w14:paraId="503D4174" w14:textId="21AE4F1F" w:rsidR="00D27307" w:rsidRPr="00A852E7" w:rsidRDefault="00D27307" w:rsidP="00D27307">
      <w:pPr>
        <w:spacing w:line="600" w:lineRule="exact"/>
        <w:ind w:firstLineChars="200" w:firstLine="560"/>
        <w:rPr>
          <w:rFonts w:ascii="宋体" w:hAnsi="宋体"/>
          <w:sz w:val="28"/>
          <w:szCs w:val="28"/>
        </w:rPr>
      </w:pPr>
      <w:r w:rsidRPr="00A852E7">
        <w:rPr>
          <w:rFonts w:ascii="宋体" w:hAnsi="宋体" w:hint="eastAsia"/>
          <w:sz w:val="28"/>
          <w:szCs w:val="28"/>
        </w:rPr>
        <w:t>（二）</w:t>
      </w:r>
      <w:r w:rsidRPr="00A852E7">
        <w:rPr>
          <w:rFonts w:ascii="宋体" w:hAnsi="宋体"/>
          <w:sz w:val="28"/>
          <w:szCs w:val="28"/>
        </w:rPr>
        <w:t xml:space="preserve"> </w:t>
      </w:r>
      <w:r w:rsidRPr="00A852E7">
        <w:rPr>
          <w:rFonts w:ascii="宋体" w:hAnsi="宋体" w:hint="eastAsia"/>
          <w:sz w:val="28"/>
          <w:szCs w:val="28"/>
        </w:rPr>
        <w:t>资产减值</w:t>
      </w:r>
      <w:r w:rsidR="00425B94" w:rsidRPr="00A852E7">
        <w:rPr>
          <w:rFonts w:ascii="宋体" w:hAnsi="宋体" w:hint="eastAsia"/>
          <w:sz w:val="28"/>
          <w:szCs w:val="28"/>
        </w:rPr>
        <w:t>准备</w:t>
      </w:r>
    </w:p>
    <w:p w14:paraId="5904D4DB" w14:textId="25AAB788" w:rsidR="00D27307" w:rsidRPr="00A852E7" w:rsidRDefault="00D27307" w:rsidP="00D27307">
      <w:pPr>
        <w:spacing w:line="600" w:lineRule="exact"/>
        <w:ind w:firstLineChars="200" w:firstLine="560"/>
        <w:rPr>
          <w:rFonts w:ascii="宋体" w:hAnsi="宋体"/>
          <w:sz w:val="28"/>
          <w:szCs w:val="28"/>
        </w:rPr>
      </w:pPr>
      <w:r w:rsidRPr="00A852E7">
        <w:rPr>
          <w:rFonts w:ascii="宋体" w:hAnsi="宋体" w:hint="eastAsia"/>
          <w:sz w:val="28"/>
          <w:szCs w:val="28"/>
        </w:rPr>
        <w:t>公司以预期信用损失为基础，对</w:t>
      </w:r>
      <w:r w:rsidR="002A4D05" w:rsidRPr="00A852E7">
        <w:rPr>
          <w:rFonts w:ascii="宋体" w:hAnsi="宋体" w:hint="eastAsia"/>
          <w:sz w:val="28"/>
          <w:szCs w:val="28"/>
        </w:rPr>
        <w:t>存货跌价准备</w:t>
      </w:r>
      <w:r w:rsidR="00357C2A">
        <w:rPr>
          <w:rFonts w:ascii="宋体" w:hAnsi="宋体" w:hint="eastAsia"/>
          <w:sz w:val="28"/>
          <w:szCs w:val="28"/>
        </w:rPr>
        <w:t>和合同资产减值准备</w:t>
      </w:r>
      <w:r w:rsidRPr="00A852E7">
        <w:rPr>
          <w:rFonts w:ascii="宋体" w:hAnsi="宋体" w:hint="eastAsia"/>
          <w:sz w:val="28"/>
          <w:szCs w:val="28"/>
        </w:rPr>
        <w:t>进行减值测试并确认损失准备</w:t>
      </w:r>
      <w:r w:rsidR="0090506A" w:rsidRPr="00A852E7">
        <w:rPr>
          <w:rFonts w:ascii="宋体" w:hAnsi="宋体" w:hint="eastAsia"/>
          <w:sz w:val="28"/>
          <w:szCs w:val="28"/>
        </w:rPr>
        <w:t>，</w:t>
      </w:r>
      <w:r w:rsidRPr="00A852E7">
        <w:rPr>
          <w:rFonts w:ascii="宋体" w:hAnsi="宋体" w:hint="eastAsia"/>
          <w:sz w:val="28"/>
          <w:szCs w:val="28"/>
        </w:rPr>
        <w:t>本期计提资产减值损</w:t>
      </w:r>
      <w:r w:rsidRPr="00357C2A">
        <w:rPr>
          <w:rFonts w:ascii="宋体" w:hAnsi="宋体" w:hint="eastAsia"/>
          <w:sz w:val="28"/>
          <w:szCs w:val="28"/>
        </w:rPr>
        <w:t>失为</w:t>
      </w:r>
      <w:r w:rsidR="002D655A" w:rsidRPr="00357C2A">
        <w:rPr>
          <w:rFonts w:ascii="宋体" w:hAnsi="宋体"/>
          <w:sz w:val="28"/>
          <w:szCs w:val="28"/>
        </w:rPr>
        <w:t>1,636.19</w:t>
      </w:r>
      <w:r w:rsidRPr="00357C2A">
        <w:rPr>
          <w:rFonts w:ascii="宋体" w:hAnsi="宋体" w:hint="eastAsia"/>
          <w:sz w:val="28"/>
          <w:szCs w:val="28"/>
        </w:rPr>
        <w:t>万元。</w:t>
      </w:r>
    </w:p>
    <w:p w14:paraId="67F878F6" w14:textId="36B27588" w:rsidR="00D27307" w:rsidRPr="00A852E7" w:rsidRDefault="00D27307" w:rsidP="00D27307">
      <w:pPr>
        <w:spacing w:line="600" w:lineRule="exact"/>
        <w:ind w:firstLineChars="200" w:firstLine="562"/>
        <w:rPr>
          <w:rFonts w:ascii="宋体" w:hAnsi="宋体"/>
          <w:b/>
          <w:bCs/>
          <w:sz w:val="28"/>
          <w:szCs w:val="28"/>
        </w:rPr>
      </w:pPr>
      <w:r w:rsidRPr="00A852E7">
        <w:rPr>
          <w:rFonts w:ascii="宋体" w:hAnsi="宋体" w:hint="eastAsia"/>
          <w:b/>
          <w:bCs/>
          <w:sz w:val="28"/>
          <w:szCs w:val="28"/>
        </w:rPr>
        <w:t>三、对公司的影响</w:t>
      </w:r>
    </w:p>
    <w:p w14:paraId="5501989A" w14:textId="3C65C626" w:rsidR="006850AF" w:rsidRPr="00FD08A8" w:rsidRDefault="0090506A" w:rsidP="00FD08A8">
      <w:pPr>
        <w:spacing w:line="600" w:lineRule="exact"/>
        <w:ind w:firstLineChars="200" w:firstLine="560"/>
        <w:rPr>
          <w:rFonts w:ascii="宋体" w:hAnsi="宋体"/>
          <w:sz w:val="28"/>
          <w:szCs w:val="28"/>
        </w:rPr>
      </w:pPr>
      <w:r w:rsidRPr="00A852E7">
        <w:rPr>
          <w:rFonts w:ascii="宋体" w:hAnsi="宋体" w:hint="eastAsia"/>
          <w:sz w:val="28"/>
          <w:szCs w:val="28"/>
        </w:rPr>
        <w:t>本次计提信用减值准备和资产减值准备将影响公司当期</w:t>
      </w:r>
      <w:r w:rsidRPr="003E2479">
        <w:rPr>
          <w:rFonts w:ascii="宋体" w:hAnsi="宋体" w:hint="eastAsia"/>
          <w:sz w:val="28"/>
          <w:szCs w:val="28"/>
        </w:rPr>
        <w:t>利润总额</w:t>
      </w:r>
      <w:r w:rsidR="00686845">
        <w:rPr>
          <w:rFonts w:ascii="宋体" w:hAnsi="宋体"/>
          <w:sz w:val="28"/>
          <w:szCs w:val="28"/>
        </w:rPr>
        <w:t>5</w:t>
      </w:r>
      <w:r w:rsidR="002D655A" w:rsidRPr="003E2479">
        <w:rPr>
          <w:rFonts w:ascii="宋体" w:hAnsi="宋体" w:hint="eastAsia"/>
          <w:sz w:val="28"/>
          <w:szCs w:val="28"/>
        </w:rPr>
        <w:t>,</w:t>
      </w:r>
      <w:r w:rsidR="00686845">
        <w:rPr>
          <w:rFonts w:ascii="宋体" w:hAnsi="宋体"/>
          <w:sz w:val="28"/>
          <w:szCs w:val="28"/>
        </w:rPr>
        <w:t>802.39</w:t>
      </w:r>
      <w:r w:rsidR="00473D11" w:rsidRPr="003E2479">
        <w:rPr>
          <w:rFonts w:ascii="宋体" w:hAnsi="宋体" w:hint="eastAsia"/>
          <w:sz w:val="28"/>
          <w:szCs w:val="28"/>
        </w:rPr>
        <w:t>万元</w:t>
      </w:r>
      <w:r w:rsidRPr="003E2479">
        <w:rPr>
          <w:rFonts w:ascii="宋体" w:hAnsi="宋体" w:hint="eastAsia"/>
          <w:sz w:val="28"/>
          <w:szCs w:val="28"/>
        </w:rPr>
        <w:t>，</w:t>
      </w:r>
      <w:r w:rsidRPr="00A852E7">
        <w:rPr>
          <w:rFonts w:ascii="宋体" w:hAnsi="宋体" w:hint="eastAsia"/>
          <w:sz w:val="28"/>
          <w:szCs w:val="28"/>
        </w:rPr>
        <w:t>上述减值准备已包含在本公司经审计的合并财务报表中。</w:t>
      </w:r>
    </w:p>
    <w:p w14:paraId="1B2D0ACB" w14:textId="45ABBA07" w:rsidR="00AF2CF4" w:rsidRDefault="00AF2CF4" w:rsidP="00D27307">
      <w:pPr>
        <w:spacing w:line="600" w:lineRule="exact"/>
        <w:ind w:firstLineChars="200" w:firstLine="560"/>
        <w:rPr>
          <w:rFonts w:ascii="宋体" w:hAnsi="宋体"/>
          <w:sz w:val="28"/>
          <w:szCs w:val="28"/>
        </w:rPr>
      </w:pPr>
      <w:r w:rsidRPr="00AF2CF4">
        <w:rPr>
          <w:rFonts w:ascii="宋体" w:hAnsi="宋体" w:hint="eastAsia"/>
          <w:sz w:val="28"/>
          <w:szCs w:val="28"/>
        </w:rPr>
        <w:t>特此公告。</w:t>
      </w:r>
    </w:p>
    <w:p w14:paraId="52C92150" w14:textId="77777777" w:rsidR="00C90C9F" w:rsidRPr="00C90C9F" w:rsidRDefault="00C90C9F" w:rsidP="00C90C9F">
      <w:pPr>
        <w:spacing w:line="600" w:lineRule="exact"/>
        <w:ind w:firstLineChars="200" w:firstLine="560"/>
        <w:rPr>
          <w:rFonts w:ascii="宋体" w:hAnsi="宋体"/>
          <w:sz w:val="28"/>
          <w:szCs w:val="28"/>
        </w:rPr>
      </w:pPr>
    </w:p>
    <w:p w14:paraId="2A03C793" w14:textId="77777777" w:rsidR="00AF2CF4" w:rsidRDefault="00AF2CF4" w:rsidP="00AF2CF4">
      <w:pPr>
        <w:spacing w:line="600" w:lineRule="exact"/>
        <w:ind w:firstLineChars="200" w:firstLine="560"/>
        <w:jc w:val="right"/>
        <w:rPr>
          <w:rFonts w:ascii="宋体" w:hAnsi="宋体"/>
          <w:sz w:val="28"/>
          <w:szCs w:val="28"/>
        </w:rPr>
      </w:pPr>
      <w:r>
        <w:rPr>
          <w:rFonts w:ascii="宋体" w:hAnsi="宋体" w:hint="eastAsia"/>
          <w:sz w:val="28"/>
          <w:szCs w:val="28"/>
        </w:rPr>
        <w:t>深圳市有方科技</w:t>
      </w:r>
      <w:r w:rsidRPr="00AF2CF4">
        <w:rPr>
          <w:rFonts w:ascii="宋体" w:hAnsi="宋体" w:hint="eastAsia"/>
          <w:sz w:val="28"/>
          <w:szCs w:val="28"/>
        </w:rPr>
        <w:t>股份有限公司董事会</w:t>
      </w:r>
    </w:p>
    <w:p w14:paraId="6E0C166F" w14:textId="16AE5EDF" w:rsidR="003E3325" w:rsidRPr="00AF2CF4" w:rsidRDefault="00FD08A8" w:rsidP="00AF2CF4">
      <w:pPr>
        <w:spacing w:line="600" w:lineRule="exact"/>
        <w:ind w:firstLineChars="200" w:firstLine="560"/>
        <w:jc w:val="right"/>
        <w:rPr>
          <w:rFonts w:ascii="宋体" w:hAnsi="宋体"/>
          <w:sz w:val="28"/>
          <w:szCs w:val="28"/>
        </w:rPr>
      </w:pPr>
      <w:r>
        <w:rPr>
          <w:rFonts w:ascii="宋体" w:hAnsi="宋体"/>
          <w:sz w:val="28"/>
          <w:szCs w:val="28"/>
        </w:rPr>
        <w:t>2025</w:t>
      </w:r>
      <w:r w:rsidR="00AF2CF4" w:rsidRPr="00AF2CF4">
        <w:rPr>
          <w:rFonts w:ascii="宋体" w:hAnsi="宋体" w:hint="eastAsia"/>
          <w:sz w:val="28"/>
          <w:szCs w:val="28"/>
        </w:rPr>
        <w:t>年</w:t>
      </w:r>
      <w:r w:rsidR="00BF7EDA">
        <w:rPr>
          <w:rFonts w:ascii="宋体" w:hAnsi="宋体"/>
          <w:sz w:val="28"/>
          <w:szCs w:val="28"/>
        </w:rPr>
        <w:t>4</w:t>
      </w:r>
      <w:r w:rsidR="00AF2CF4" w:rsidRPr="00AF2CF4">
        <w:rPr>
          <w:rFonts w:ascii="宋体" w:hAnsi="宋体" w:hint="eastAsia"/>
          <w:sz w:val="28"/>
          <w:szCs w:val="28"/>
        </w:rPr>
        <w:t>月</w:t>
      </w:r>
      <w:r w:rsidR="009043B0">
        <w:rPr>
          <w:rFonts w:ascii="宋体" w:hAnsi="宋体"/>
          <w:sz w:val="28"/>
          <w:szCs w:val="28"/>
        </w:rPr>
        <w:t>30</w:t>
      </w:r>
      <w:r w:rsidR="00AF2CF4" w:rsidRPr="00AF2CF4">
        <w:rPr>
          <w:rFonts w:ascii="宋体" w:hAnsi="宋体" w:hint="eastAsia"/>
          <w:sz w:val="28"/>
          <w:szCs w:val="28"/>
        </w:rPr>
        <w:t>日</w:t>
      </w:r>
    </w:p>
    <w:sectPr w:rsidR="003E3325" w:rsidRPr="00AF2CF4">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560799" w16cid:durableId="2BBAC0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D4FBA" w14:textId="77777777" w:rsidR="00E35AA6" w:rsidRDefault="00E35AA6" w:rsidP="005E71FD">
      <w:r>
        <w:separator/>
      </w:r>
    </w:p>
  </w:endnote>
  <w:endnote w:type="continuationSeparator" w:id="0">
    <w:p w14:paraId="5F41B2F1" w14:textId="77777777" w:rsidR="00E35AA6" w:rsidRDefault="00E35AA6" w:rsidP="005E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E0CBF" w14:textId="77777777" w:rsidR="00E35AA6" w:rsidRDefault="00E35AA6" w:rsidP="005E71FD">
      <w:r>
        <w:separator/>
      </w:r>
    </w:p>
  </w:footnote>
  <w:footnote w:type="continuationSeparator" w:id="0">
    <w:p w14:paraId="31E5FEC2" w14:textId="77777777" w:rsidR="00E35AA6" w:rsidRDefault="00E35AA6" w:rsidP="005E7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CF4"/>
    <w:rsid w:val="00011D5C"/>
    <w:rsid w:val="0001438A"/>
    <w:rsid w:val="00021C38"/>
    <w:rsid w:val="00037392"/>
    <w:rsid w:val="000560F8"/>
    <w:rsid w:val="00060DBC"/>
    <w:rsid w:val="00070558"/>
    <w:rsid w:val="00070D15"/>
    <w:rsid w:val="000720C5"/>
    <w:rsid w:val="00074731"/>
    <w:rsid w:val="00074A75"/>
    <w:rsid w:val="00081A92"/>
    <w:rsid w:val="00081F31"/>
    <w:rsid w:val="00096E28"/>
    <w:rsid w:val="000A609F"/>
    <w:rsid w:val="000B4D27"/>
    <w:rsid w:val="000C3275"/>
    <w:rsid w:val="000D2505"/>
    <w:rsid w:val="000D7B88"/>
    <w:rsid w:val="000E150B"/>
    <w:rsid w:val="000F508F"/>
    <w:rsid w:val="000F5FF1"/>
    <w:rsid w:val="00100BA9"/>
    <w:rsid w:val="00101380"/>
    <w:rsid w:val="00104908"/>
    <w:rsid w:val="0012124D"/>
    <w:rsid w:val="00131A7C"/>
    <w:rsid w:val="00135053"/>
    <w:rsid w:val="00135A24"/>
    <w:rsid w:val="001371AC"/>
    <w:rsid w:val="00177C74"/>
    <w:rsid w:val="0018081B"/>
    <w:rsid w:val="00180AC1"/>
    <w:rsid w:val="00180E2C"/>
    <w:rsid w:val="00184C1D"/>
    <w:rsid w:val="001902C6"/>
    <w:rsid w:val="00194D08"/>
    <w:rsid w:val="001C19B0"/>
    <w:rsid w:val="001E7314"/>
    <w:rsid w:val="001F5590"/>
    <w:rsid w:val="001F5ED1"/>
    <w:rsid w:val="001F6680"/>
    <w:rsid w:val="00201CE1"/>
    <w:rsid w:val="00211C55"/>
    <w:rsid w:val="0021462C"/>
    <w:rsid w:val="00235809"/>
    <w:rsid w:val="00250D03"/>
    <w:rsid w:val="00251E9A"/>
    <w:rsid w:val="00253C8E"/>
    <w:rsid w:val="00263F58"/>
    <w:rsid w:val="00264BEC"/>
    <w:rsid w:val="00276B30"/>
    <w:rsid w:val="002818DB"/>
    <w:rsid w:val="00285322"/>
    <w:rsid w:val="00287C01"/>
    <w:rsid w:val="0029633C"/>
    <w:rsid w:val="002A26CE"/>
    <w:rsid w:val="002A4D05"/>
    <w:rsid w:val="002A6F1F"/>
    <w:rsid w:val="002C50E7"/>
    <w:rsid w:val="002D139D"/>
    <w:rsid w:val="002D655A"/>
    <w:rsid w:val="002F6F1F"/>
    <w:rsid w:val="00310880"/>
    <w:rsid w:val="00315145"/>
    <w:rsid w:val="003210C7"/>
    <w:rsid w:val="00324F32"/>
    <w:rsid w:val="0032539D"/>
    <w:rsid w:val="00327575"/>
    <w:rsid w:val="00335C3B"/>
    <w:rsid w:val="00340AA3"/>
    <w:rsid w:val="00344B87"/>
    <w:rsid w:val="0035205E"/>
    <w:rsid w:val="00357867"/>
    <w:rsid w:val="00357C2A"/>
    <w:rsid w:val="003633CF"/>
    <w:rsid w:val="003731DF"/>
    <w:rsid w:val="0037364E"/>
    <w:rsid w:val="00374E81"/>
    <w:rsid w:val="00392506"/>
    <w:rsid w:val="003975F3"/>
    <w:rsid w:val="00397CBA"/>
    <w:rsid w:val="003B2C49"/>
    <w:rsid w:val="003B77F1"/>
    <w:rsid w:val="003C09C4"/>
    <w:rsid w:val="003C17AF"/>
    <w:rsid w:val="003C3BC7"/>
    <w:rsid w:val="003E2479"/>
    <w:rsid w:val="003E3325"/>
    <w:rsid w:val="003F3FA8"/>
    <w:rsid w:val="0040156B"/>
    <w:rsid w:val="00403285"/>
    <w:rsid w:val="00403793"/>
    <w:rsid w:val="004050CD"/>
    <w:rsid w:val="0041062D"/>
    <w:rsid w:val="00414E24"/>
    <w:rsid w:val="00416BF5"/>
    <w:rsid w:val="00421332"/>
    <w:rsid w:val="0042270A"/>
    <w:rsid w:val="004227FE"/>
    <w:rsid w:val="00425B94"/>
    <w:rsid w:val="004363E2"/>
    <w:rsid w:val="0043722D"/>
    <w:rsid w:val="004402B4"/>
    <w:rsid w:val="0046522C"/>
    <w:rsid w:val="00473D11"/>
    <w:rsid w:val="00475E29"/>
    <w:rsid w:val="004818F5"/>
    <w:rsid w:val="00487E16"/>
    <w:rsid w:val="00492B10"/>
    <w:rsid w:val="00493AE1"/>
    <w:rsid w:val="004A6072"/>
    <w:rsid w:val="004B1D41"/>
    <w:rsid w:val="004B1E90"/>
    <w:rsid w:val="004D3B83"/>
    <w:rsid w:val="004D5E86"/>
    <w:rsid w:val="004F35ED"/>
    <w:rsid w:val="004F507B"/>
    <w:rsid w:val="00505089"/>
    <w:rsid w:val="00523570"/>
    <w:rsid w:val="005246D0"/>
    <w:rsid w:val="005275B4"/>
    <w:rsid w:val="00542B22"/>
    <w:rsid w:val="00551D9E"/>
    <w:rsid w:val="005523ED"/>
    <w:rsid w:val="0055480B"/>
    <w:rsid w:val="00562FBE"/>
    <w:rsid w:val="005649A9"/>
    <w:rsid w:val="00567740"/>
    <w:rsid w:val="0057726D"/>
    <w:rsid w:val="0058166B"/>
    <w:rsid w:val="005938C3"/>
    <w:rsid w:val="00596C30"/>
    <w:rsid w:val="00596C42"/>
    <w:rsid w:val="005A38F6"/>
    <w:rsid w:val="005B2C92"/>
    <w:rsid w:val="005B3B84"/>
    <w:rsid w:val="005D27F6"/>
    <w:rsid w:val="005E2AFA"/>
    <w:rsid w:val="005E71FD"/>
    <w:rsid w:val="005F434E"/>
    <w:rsid w:val="006026C2"/>
    <w:rsid w:val="00604ED1"/>
    <w:rsid w:val="006119AB"/>
    <w:rsid w:val="00616643"/>
    <w:rsid w:val="00642F63"/>
    <w:rsid w:val="00655ECB"/>
    <w:rsid w:val="006654B3"/>
    <w:rsid w:val="00684168"/>
    <w:rsid w:val="006850AF"/>
    <w:rsid w:val="00686845"/>
    <w:rsid w:val="006936CC"/>
    <w:rsid w:val="006A7459"/>
    <w:rsid w:val="006B170D"/>
    <w:rsid w:val="006B3514"/>
    <w:rsid w:val="006B5A94"/>
    <w:rsid w:val="006B6D0C"/>
    <w:rsid w:val="006C033A"/>
    <w:rsid w:val="006C64C7"/>
    <w:rsid w:val="006C7A8F"/>
    <w:rsid w:val="006D5F15"/>
    <w:rsid w:val="006E1800"/>
    <w:rsid w:val="006E4D05"/>
    <w:rsid w:val="006F6AC7"/>
    <w:rsid w:val="00705D43"/>
    <w:rsid w:val="00714C2A"/>
    <w:rsid w:val="007164F5"/>
    <w:rsid w:val="00723932"/>
    <w:rsid w:val="00724894"/>
    <w:rsid w:val="00745A89"/>
    <w:rsid w:val="00747FAD"/>
    <w:rsid w:val="00754FF8"/>
    <w:rsid w:val="007557E1"/>
    <w:rsid w:val="00765DF5"/>
    <w:rsid w:val="0078121F"/>
    <w:rsid w:val="007816F3"/>
    <w:rsid w:val="00781924"/>
    <w:rsid w:val="007842ED"/>
    <w:rsid w:val="00796291"/>
    <w:rsid w:val="007A612F"/>
    <w:rsid w:val="007B1CE9"/>
    <w:rsid w:val="007B643C"/>
    <w:rsid w:val="007B79BF"/>
    <w:rsid w:val="007D29DF"/>
    <w:rsid w:val="007E4B1C"/>
    <w:rsid w:val="007E5F48"/>
    <w:rsid w:val="007F5C0B"/>
    <w:rsid w:val="007F7DB1"/>
    <w:rsid w:val="00806E74"/>
    <w:rsid w:val="00815E6A"/>
    <w:rsid w:val="00821523"/>
    <w:rsid w:val="00826E9A"/>
    <w:rsid w:val="00833662"/>
    <w:rsid w:val="008515CB"/>
    <w:rsid w:val="00854600"/>
    <w:rsid w:val="008614EA"/>
    <w:rsid w:val="0086781D"/>
    <w:rsid w:val="0088157C"/>
    <w:rsid w:val="00892D02"/>
    <w:rsid w:val="008A2B6D"/>
    <w:rsid w:val="008B0A00"/>
    <w:rsid w:val="008B1552"/>
    <w:rsid w:val="008B5671"/>
    <w:rsid w:val="008C7066"/>
    <w:rsid w:val="008E10D4"/>
    <w:rsid w:val="008F596C"/>
    <w:rsid w:val="008F61D9"/>
    <w:rsid w:val="008F6341"/>
    <w:rsid w:val="009043B0"/>
    <w:rsid w:val="0090506A"/>
    <w:rsid w:val="009140AE"/>
    <w:rsid w:val="009142C5"/>
    <w:rsid w:val="00923415"/>
    <w:rsid w:val="00942848"/>
    <w:rsid w:val="00952213"/>
    <w:rsid w:val="009539FC"/>
    <w:rsid w:val="009541D4"/>
    <w:rsid w:val="00961330"/>
    <w:rsid w:val="00967AB4"/>
    <w:rsid w:val="00970FC3"/>
    <w:rsid w:val="0097142C"/>
    <w:rsid w:val="00977208"/>
    <w:rsid w:val="0097759F"/>
    <w:rsid w:val="00981D31"/>
    <w:rsid w:val="00986F34"/>
    <w:rsid w:val="00992331"/>
    <w:rsid w:val="009A1BAA"/>
    <w:rsid w:val="009A2586"/>
    <w:rsid w:val="009B2D0D"/>
    <w:rsid w:val="009B2E4E"/>
    <w:rsid w:val="009C17F8"/>
    <w:rsid w:val="009C6D25"/>
    <w:rsid w:val="009C7B53"/>
    <w:rsid w:val="009D04C9"/>
    <w:rsid w:val="009E09E9"/>
    <w:rsid w:val="009E6A1F"/>
    <w:rsid w:val="009E7570"/>
    <w:rsid w:val="009F5B10"/>
    <w:rsid w:val="00A0550E"/>
    <w:rsid w:val="00A121FE"/>
    <w:rsid w:val="00A16E21"/>
    <w:rsid w:val="00A25F03"/>
    <w:rsid w:val="00A25FB4"/>
    <w:rsid w:val="00A26C1A"/>
    <w:rsid w:val="00A27231"/>
    <w:rsid w:val="00A30347"/>
    <w:rsid w:val="00A32339"/>
    <w:rsid w:val="00A32B32"/>
    <w:rsid w:val="00A34229"/>
    <w:rsid w:val="00A4150F"/>
    <w:rsid w:val="00A459F5"/>
    <w:rsid w:val="00A46F6A"/>
    <w:rsid w:val="00A632C6"/>
    <w:rsid w:val="00A74A69"/>
    <w:rsid w:val="00A761F2"/>
    <w:rsid w:val="00A81DCC"/>
    <w:rsid w:val="00A84CA5"/>
    <w:rsid w:val="00A852E7"/>
    <w:rsid w:val="00AA4123"/>
    <w:rsid w:val="00AB1F96"/>
    <w:rsid w:val="00AB2608"/>
    <w:rsid w:val="00AC534B"/>
    <w:rsid w:val="00AD19F1"/>
    <w:rsid w:val="00AE50B5"/>
    <w:rsid w:val="00AE6915"/>
    <w:rsid w:val="00AE7634"/>
    <w:rsid w:val="00AF2CF4"/>
    <w:rsid w:val="00AF6D09"/>
    <w:rsid w:val="00B022B6"/>
    <w:rsid w:val="00B2184A"/>
    <w:rsid w:val="00B26C3A"/>
    <w:rsid w:val="00B30F92"/>
    <w:rsid w:val="00B366A7"/>
    <w:rsid w:val="00B41124"/>
    <w:rsid w:val="00B627BB"/>
    <w:rsid w:val="00B639BC"/>
    <w:rsid w:val="00B7437D"/>
    <w:rsid w:val="00B878DF"/>
    <w:rsid w:val="00B9115C"/>
    <w:rsid w:val="00B9125D"/>
    <w:rsid w:val="00B95706"/>
    <w:rsid w:val="00BA1A45"/>
    <w:rsid w:val="00BA6CE6"/>
    <w:rsid w:val="00BB42B6"/>
    <w:rsid w:val="00BB4D3F"/>
    <w:rsid w:val="00BC2D2F"/>
    <w:rsid w:val="00BC41BB"/>
    <w:rsid w:val="00BE0F68"/>
    <w:rsid w:val="00BE1045"/>
    <w:rsid w:val="00BE2A89"/>
    <w:rsid w:val="00BE4340"/>
    <w:rsid w:val="00BF2C05"/>
    <w:rsid w:val="00BF4611"/>
    <w:rsid w:val="00BF5456"/>
    <w:rsid w:val="00BF7EDA"/>
    <w:rsid w:val="00C02777"/>
    <w:rsid w:val="00C12AC9"/>
    <w:rsid w:val="00C14731"/>
    <w:rsid w:val="00C1731E"/>
    <w:rsid w:val="00C17DF0"/>
    <w:rsid w:val="00C25CBC"/>
    <w:rsid w:val="00C32A9E"/>
    <w:rsid w:val="00C35D6E"/>
    <w:rsid w:val="00C37B5F"/>
    <w:rsid w:val="00C40642"/>
    <w:rsid w:val="00C513A4"/>
    <w:rsid w:val="00C56737"/>
    <w:rsid w:val="00C75C57"/>
    <w:rsid w:val="00C76788"/>
    <w:rsid w:val="00C84AAB"/>
    <w:rsid w:val="00C9076C"/>
    <w:rsid w:val="00C90C9F"/>
    <w:rsid w:val="00C95999"/>
    <w:rsid w:val="00CA1906"/>
    <w:rsid w:val="00CA40F1"/>
    <w:rsid w:val="00CD4046"/>
    <w:rsid w:val="00CD5ECE"/>
    <w:rsid w:val="00CF03D9"/>
    <w:rsid w:val="00D1593E"/>
    <w:rsid w:val="00D22C11"/>
    <w:rsid w:val="00D23597"/>
    <w:rsid w:val="00D27307"/>
    <w:rsid w:val="00D2774B"/>
    <w:rsid w:val="00D61DC9"/>
    <w:rsid w:val="00D645BE"/>
    <w:rsid w:val="00D75575"/>
    <w:rsid w:val="00D81839"/>
    <w:rsid w:val="00D81AC5"/>
    <w:rsid w:val="00D86B6B"/>
    <w:rsid w:val="00D910FA"/>
    <w:rsid w:val="00DA0EEF"/>
    <w:rsid w:val="00DA3178"/>
    <w:rsid w:val="00DC507F"/>
    <w:rsid w:val="00DD07CD"/>
    <w:rsid w:val="00DD45C6"/>
    <w:rsid w:val="00DE250F"/>
    <w:rsid w:val="00DF7E69"/>
    <w:rsid w:val="00E00815"/>
    <w:rsid w:val="00E01149"/>
    <w:rsid w:val="00E10AF9"/>
    <w:rsid w:val="00E24FFD"/>
    <w:rsid w:val="00E26335"/>
    <w:rsid w:val="00E27ECE"/>
    <w:rsid w:val="00E27F39"/>
    <w:rsid w:val="00E35AA6"/>
    <w:rsid w:val="00E3674B"/>
    <w:rsid w:val="00E50C1A"/>
    <w:rsid w:val="00E60679"/>
    <w:rsid w:val="00EC5113"/>
    <w:rsid w:val="00ED0AA3"/>
    <w:rsid w:val="00EE041E"/>
    <w:rsid w:val="00EE6E49"/>
    <w:rsid w:val="00F04D13"/>
    <w:rsid w:val="00F2101C"/>
    <w:rsid w:val="00F51A39"/>
    <w:rsid w:val="00F53CE8"/>
    <w:rsid w:val="00F53EB1"/>
    <w:rsid w:val="00F64485"/>
    <w:rsid w:val="00F71344"/>
    <w:rsid w:val="00F71B9A"/>
    <w:rsid w:val="00F723DB"/>
    <w:rsid w:val="00F74E6C"/>
    <w:rsid w:val="00F8246B"/>
    <w:rsid w:val="00F91CBC"/>
    <w:rsid w:val="00F97650"/>
    <w:rsid w:val="00FA1A8D"/>
    <w:rsid w:val="00FA4B19"/>
    <w:rsid w:val="00FC14FF"/>
    <w:rsid w:val="00FC58CF"/>
    <w:rsid w:val="00FD08A8"/>
    <w:rsid w:val="00FD4746"/>
    <w:rsid w:val="00FD7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D8F77"/>
  <w15:chartTrackingRefBased/>
  <w15:docId w15:val="{62124A35-86BD-4EEA-8AD8-313B8425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7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71FD"/>
    <w:rPr>
      <w:rFonts w:ascii="Times New Roman" w:eastAsia="宋体" w:hAnsi="Times New Roman" w:cs="Times New Roman"/>
      <w:sz w:val="18"/>
      <w:szCs w:val="18"/>
    </w:rPr>
  </w:style>
  <w:style w:type="paragraph" w:styleId="a4">
    <w:name w:val="footer"/>
    <w:basedOn w:val="a"/>
    <w:link w:val="Char0"/>
    <w:uiPriority w:val="99"/>
    <w:unhideWhenUsed/>
    <w:rsid w:val="005E71FD"/>
    <w:pPr>
      <w:tabs>
        <w:tab w:val="center" w:pos="4153"/>
        <w:tab w:val="right" w:pos="8306"/>
      </w:tabs>
      <w:snapToGrid w:val="0"/>
      <w:jc w:val="left"/>
    </w:pPr>
    <w:rPr>
      <w:sz w:val="18"/>
      <w:szCs w:val="18"/>
    </w:rPr>
  </w:style>
  <w:style w:type="character" w:customStyle="1" w:styleId="Char0">
    <w:name w:val="页脚 Char"/>
    <w:basedOn w:val="a0"/>
    <w:link w:val="a4"/>
    <w:uiPriority w:val="99"/>
    <w:rsid w:val="005E71FD"/>
    <w:rPr>
      <w:rFonts w:ascii="Times New Roman" w:eastAsia="宋体" w:hAnsi="Times New Roman" w:cs="Times New Roman"/>
      <w:sz w:val="18"/>
      <w:szCs w:val="18"/>
    </w:rPr>
  </w:style>
  <w:style w:type="paragraph" w:styleId="a5">
    <w:name w:val="Balloon Text"/>
    <w:basedOn w:val="a"/>
    <w:link w:val="Char1"/>
    <w:uiPriority w:val="99"/>
    <w:semiHidden/>
    <w:unhideWhenUsed/>
    <w:rsid w:val="006E1800"/>
    <w:rPr>
      <w:sz w:val="18"/>
      <w:szCs w:val="18"/>
    </w:rPr>
  </w:style>
  <w:style w:type="character" w:customStyle="1" w:styleId="Char1">
    <w:name w:val="批注框文本 Char"/>
    <w:basedOn w:val="a0"/>
    <w:link w:val="a5"/>
    <w:uiPriority w:val="99"/>
    <w:semiHidden/>
    <w:rsid w:val="006E1800"/>
    <w:rPr>
      <w:rFonts w:ascii="Times New Roman" w:eastAsia="宋体" w:hAnsi="Times New Roman" w:cs="Times New Roman"/>
      <w:sz w:val="18"/>
      <w:szCs w:val="18"/>
    </w:rPr>
  </w:style>
  <w:style w:type="character" w:styleId="a6">
    <w:name w:val="annotation reference"/>
    <w:basedOn w:val="a0"/>
    <w:uiPriority w:val="99"/>
    <w:semiHidden/>
    <w:unhideWhenUsed/>
    <w:rsid w:val="006850AF"/>
    <w:rPr>
      <w:sz w:val="21"/>
      <w:szCs w:val="21"/>
    </w:rPr>
  </w:style>
  <w:style w:type="paragraph" w:styleId="a7">
    <w:name w:val="annotation text"/>
    <w:basedOn w:val="a"/>
    <w:link w:val="Char2"/>
    <w:uiPriority w:val="99"/>
    <w:semiHidden/>
    <w:unhideWhenUsed/>
    <w:rsid w:val="006850AF"/>
    <w:pPr>
      <w:jc w:val="left"/>
    </w:pPr>
  </w:style>
  <w:style w:type="character" w:customStyle="1" w:styleId="Char2">
    <w:name w:val="批注文字 Char"/>
    <w:basedOn w:val="a0"/>
    <w:link w:val="a7"/>
    <w:uiPriority w:val="99"/>
    <w:semiHidden/>
    <w:rsid w:val="006850AF"/>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6850AF"/>
    <w:rPr>
      <w:b/>
      <w:bCs/>
    </w:rPr>
  </w:style>
  <w:style w:type="character" w:customStyle="1" w:styleId="Char3">
    <w:name w:val="批注主题 Char"/>
    <w:basedOn w:val="Char2"/>
    <w:link w:val="a8"/>
    <w:uiPriority w:val="99"/>
    <w:semiHidden/>
    <w:rsid w:val="006850AF"/>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444964">
      <w:bodyDiv w:val="1"/>
      <w:marLeft w:val="0"/>
      <w:marRight w:val="0"/>
      <w:marTop w:val="0"/>
      <w:marBottom w:val="0"/>
      <w:divBdr>
        <w:top w:val="none" w:sz="0" w:space="0" w:color="auto"/>
        <w:left w:val="none" w:sz="0" w:space="0" w:color="auto"/>
        <w:bottom w:val="none" w:sz="0" w:space="0" w:color="auto"/>
        <w:right w:val="none" w:sz="0" w:space="0" w:color="auto"/>
      </w:divBdr>
    </w:div>
    <w:div w:id="204165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lei</dc:creator>
  <cp:keywords/>
  <dc:description/>
  <cp:lastModifiedBy>郑妍</cp:lastModifiedBy>
  <cp:revision>160</cp:revision>
  <dcterms:created xsi:type="dcterms:W3CDTF">2021-03-19T03:06:00Z</dcterms:created>
  <dcterms:modified xsi:type="dcterms:W3CDTF">2025-04-29T01:52:00Z</dcterms:modified>
</cp:coreProperties>
</file>